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8A95">
      <w:pPr>
        <w:widowControl w:val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lang w:val="en-US" w:eastAsia="zh-CN" w:bidi="ar-SA"/>
        </w:rPr>
        <w:t>石家庄市人民医院七氟丙烷钢瓶及</w:t>
      </w:r>
      <w:r>
        <w:rPr>
          <w:rFonts w:hint="eastAsia"/>
          <w:b/>
          <w:bCs/>
          <w:sz w:val="44"/>
          <w:szCs w:val="44"/>
        </w:rPr>
        <w:t>灭火药剂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lang w:val="en-US" w:eastAsia="zh-CN" w:bidi="ar-SA"/>
        </w:rPr>
        <w:t>检测项目询价公告</w:t>
      </w:r>
    </w:p>
    <w:p w14:paraId="63A5C9CC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为保障我院消防设施安全稳定运行，现对七氟丙烷检测项目进行公开询价，欢迎符合资格条件的供应商参与报价。</w:t>
      </w:r>
    </w:p>
    <w:p w14:paraId="57A698A8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一、项目概况</w:t>
      </w:r>
    </w:p>
    <w:p w14:paraId="47BF69A1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1.项目名称：石家庄市人民医院七氟丙烷钢瓶及</w:t>
      </w:r>
      <w:r>
        <w:rPr>
          <w:rFonts w:hint="eastAsia" w:ascii="楷体_GB2312" w:hAnsi="楷体_GB2312" w:eastAsia="楷体_GB2312" w:cs="楷体_GB2312"/>
          <w:sz w:val="32"/>
          <w:szCs w:val="32"/>
        </w:rPr>
        <w:t>灭火药剂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检测项目</w:t>
      </w:r>
    </w:p>
    <w:p w14:paraId="1D254AA5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2.服务范围：对我院预制柜式七氟丙烷灭火装置共计59套进行充装检测，具体明细如下：</w:t>
      </w:r>
    </w:p>
    <w:tbl>
      <w:tblPr>
        <w:tblStyle w:val="4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2"/>
        <w:gridCol w:w="2505"/>
        <w:gridCol w:w="2115"/>
      </w:tblGrid>
      <w:tr w14:paraId="0654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562" w:type="dxa"/>
            <w:vAlign w:val="center"/>
          </w:tcPr>
          <w:p w14:paraId="214A4E02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货物名称</w:t>
            </w:r>
          </w:p>
        </w:tc>
        <w:tc>
          <w:tcPr>
            <w:tcW w:w="2505" w:type="dxa"/>
            <w:vAlign w:val="center"/>
          </w:tcPr>
          <w:p w14:paraId="0DD1E007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规格</w:t>
            </w:r>
          </w:p>
        </w:tc>
        <w:tc>
          <w:tcPr>
            <w:tcW w:w="2115" w:type="dxa"/>
            <w:vAlign w:val="center"/>
          </w:tcPr>
          <w:p w14:paraId="34A29D95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数量（套）</w:t>
            </w:r>
          </w:p>
        </w:tc>
      </w:tr>
      <w:tr w14:paraId="61AF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62" w:type="dxa"/>
            <w:vAlign w:val="center"/>
          </w:tcPr>
          <w:p w14:paraId="5E8FAE69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七氟丙烷气体钢瓶</w:t>
            </w:r>
          </w:p>
        </w:tc>
        <w:tc>
          <w:tcPr>
            <w:tcW w:w="2505" w:type="dxa"/>
            <w:vAlign w:val="center"/>
          </w:tcPr>
          <w:p w14:paraId="1A96BF7D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150L</w:t>
            </w:r>
          </w:p>
        </w:tc>
        <w:tc>
          <w:tcPr>
            <w:tcW w:w="2115" w:type="dxa"/>
          </w:tcPr>
          <w:p w14:paraId="64C552BB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242D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62" w:type="dxa"/>
            <w:vAlign w:val="center"/>
          </w:tcPr>
          <w:p w14:paraId="3CD6A7E6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七氟丙烷气体钢瓶</w:t>
            </w:r>
          </w:p>
        </w:tc>
        <w:tc>
          <w:tcPr>
            <w:tcW w:w="2505" w:type="dxa"/>
            <w:vAlign w:val="center"/>
          </w:tcPr>
          <w:p w14:paraId="4F597FBE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120L</w:t>
            </w:r>
          </w:p>
        </w:tc>
        <w:tc>
          <w:tcPr>
            <w:tcW w:w="2115" w:type="dxa"/>
          </w:tcPr>
          <w:p w14:paraId="79F9F3A7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</w:tr>
      <w:tr w14:paraId="72DA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562" w:type="dxa"/>
            <w:vAlign w:val="center"/>
          </w:tcPr>
          <w:p w14:paraId="119C7DB7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七氟丙烷气体钢瓶</w:t>
            </w:r>
          </w:p>
        </w:tc>
        <w:tc>
          <w:tcPr>
            <w:tcW w:w="2505" w:type="dxa"/>
            <w:vAlign w:val="center"/>
          </w:tcPr>
          <w:p w14:paraId="64F4AD5C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90L</w:t>
            </w:r>
          </w:p>
        </w:tc>
        <w:tc>
          <w:tcPr>
            <w:tcW w:w="2115" w:type="dxa"/>
          </w:tcPr>
          <w:p w14:paraId="7D59D7D1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</w:tr>
      <w:tr w14:paraId="69BD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562" w:type="dxa"/>
            <w:vAlign w:val="center"/>
          </w:tcPr>
          <w:p w14:paraId="454F8E50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七氟丙烷气体钢瓶</w:t>
            </w:r>
          </w:p>
        </w:tc>
        <w:tc>
          <w:tcPr>
            <w:tcW w:w="2505" w:type="dxa"/>
            <w:vAlign w:val="center"/>
          </w:tcPr>
          <w:p w14:paraId="6183906F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70L</w:t>
            </w:r>
          </w:p>
        </w:tc>
        <w:tc>
          <w:tcPr>
            <w:tcW w:w="2115" w:type="dxa"/>
          </w:tcPr>
          <w:p w14:paraId="6591F692">
            <w:pPr>
              <w:widowControl w:val="0"/>
              <w:ind w:leftChars="0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</w:tr>
    </w:tbl>
    <w:p w14:paraId="3F54FAAE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3.服务地点：石家庄市人民医院建华院区、方北院区、范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西院区</w:t>
      </w:r>
    </w:p>
    <w:p w14:paraId="46CBFFE7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4.服务内容：对上述59套七氟丙烷气体灭火装置进行充装检测，主要包括七氟丙烷储气钢瓶拆卸、检测、补漆、气体释放、充装、钢瓶零部件及附件的检测、更换、安装及全过程运输，确保钢瓶正常使用。</w:t>
      </w:r>
    </w:p>
    <w:p w14:paraId="607BFA98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二、技术要求</w:t>
      </w:r>
    </w:p>
    <w:p w14:paraId="6F314F8D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1.通用要求：本项目执行国家、地方及行业现行法律、标准、规范，以及采购人相关管理文件和技术标准要求。</w:t>
      </w:r>
    </w:p>
    <w:p w14:paraId="6C0E7329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2.专用标准：本项目需严格遵循以下标准（包括但不限于最新版本）：</w:t>
      </w:r>
    </w:p>
    <w:p w14:paraId="4AF34A12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《气体灭火系统灭火剂充装规定》（XF1203-2014）</w:t>
      </w:r>
    </w:p>
    <w:p w14:paraId="272C73D2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《气体灭火系统用钢质焊接气瓶定期检验与评定》（T/CCGA 60002-2022）</w:t>
      </w:r>
    </w:p>
    <w:p w14:paraId="27535BD3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《气体灭火系统及部件》（GB25972-2024）</w:t>
      </w:r>
    </w:p>
    <w:p w14:paraId="57D191B6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《气瓶安全技术规程》（TSG 23-2021）</w:t>
      </w:r>
    </w:p>
    <w:p w14:paraId="26380640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《气瓶颜色标志》（GB-7144-2016）</w:t>
      </w:r>
    </w:p>
    <w:p w14:paraId="395F08AA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《建筑消防设施的维护管理》（GB25201-2022）</w:t>
      </w:r>
    </w:p>
    <w:p w14:paraId="518C2503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《气瓶水压试验方法》（GB/T9251-2022）</w:t>
      </w:r>
    </w:p>
    <w:p w14:paraId="04F1AE6E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《气瓶气密性试验方法》（GB/T 12137-2025）</w:t>
      </w:r>
    </w:p>
    <w:p w14:paraId="3E48A6F8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- 其他相关气瓶及气体灭火系统规范标准</w:t>
      </w:r>
    </w:p>
    <w:p w14:paraId="129297B7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</w:rPr>
        <w:t>灭火药剂检测</w:t>
      </w:r>
    </w:p>
    <w:p w14:paraId="4E611B16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· 对现有七氟丙烷灭火剂进行抽样检测，检测其纯度、含水量、酸度等关键指标是否符合国家标准要求。</w:t>
      </w:r>
    </w:p>
    <w:p w14:paraId="27A436B6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· 如药剂指标不合格，需提供补充或更换方案及报价（按kg计）。</w:t>
      </w:r>
    </w:p>
    <w:p w14:paraId="6A3ECD82">
      <w:pPr>
        <w:widowControl w:val="0"/>
        <w:ind w:left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· 检测完成后出具正式的检测报告。</w:t>
      </w:r>
    </w:p>
    <w:p w14:paraId="1BB2EB0F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三、供应商资格要求</w:t>
      </w:r>
    </w:p>
    <w:p w14:paraId="53156E5D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1.具有独立承担民事责任的能力，具备良好商业信誉，近三年经营活动中无重大违法记录。</w:t>
      </w:r>
    </w:p>
    <w:p w14:paraId="74C0DF0F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2.具有有效的营业执照，能独立承担民事责任。</w:t>
      </w:r>
    </w:p>
    <w:p w14:paraId="23CD5E6E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3.具备《中华人民共和国特种设备检验检测机构核准证》，许可范围包含无缝气瓶和焊接气瓶。</w:t>
      </w:r>
    </w:p>
    <w:p w14:paraId="60F82866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4.若为第三方授权供应商，需提供第三方委托授权书。</w:t>
      </w:r>
    </w:p>
    <w:p w14:paraId="19A803FF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5.能提供同类项目（七氟丙烷钢瓶检测维保）的业绩证明复印件。</w:t>
      </w:r>
    </w:p>
    <w:p w14:paraId="20155E72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四、报价要求</w:t>
      </w:r>
    </w:p>
    <w:p w14:paraId="2492B07B">
      <w:pPr>
        <w:widowControl w:val="0"/>
        <w:ind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1.报价为总价包干，包含检测、充装、药损补充、运输、人工、材料、税费等所有相关费用，采购人不再支付额外费用。</w:t>
      </w:r>
    </w:p>
    <w:p w14:paraId="2796FE01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2.报价文件需包含：</w:t>
      </w:r>
      <w:r>
        <w:rPr>
          <w:rFonts w:hint="eastAsia" w:ascii="楷体_GB2312" w:hAnsi="楷体_GB2312" w:eastAsia="楷体_GB2312" w:cs="楷体_GB2312"/>
          <w:sz w:val="32"/>
          <w:szCs w:val="32"/>
        </w:rPr>
        <w:t>营业执照、资质证书、业绩证明、报价单、服务方案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、授权书及联系方式</w:t>
      </w:r>
      <w:r>
        <w:rPr>
          <w:rFonts w:hint="eastAsia" w:ascii="楷体_GB2312" w:hAnsi="楷体_GB2312" w:eastAsia="楷体_GB2312" w:cs="楷体_GB2312"/>
          <w:sz w:val="32"/>
          <w:szCs w:val="32"/>
        </w:rPr>
        <w:t>等相关资料，加盖公章后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PDF格式发送至邮箱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4E54C9EA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响应文件提交</w:t>
      </w:r>
    </w:p>
    <w:p w14:paraId="6DFE2D5B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截止时间：2026年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sz w:val="32"/>
          <w:szCs w:val="32"/>
        </w:rPr>
        <w:t>时。</w:t>
      </w:r>
    </w:p>
    <w:p w14:paraId="043EC380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.文件要求：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PDF格式发送至邮箱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instrText xml:space="preserve"> HYPERLINK "mailto:sjzsrmyybwc@126.com" </w:instrTex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t>sjzsrmyybwc@126.com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fldChar w:fldCharType="end"/>
      </w:r>
    </w:p>
    <w:p w14:paraId="3A6EA9BA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2.联系方式：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t>69088167</w:t>
      </w:r>
    </w:p>
    <w:p w14:paraId="091064C7">
      <w:pPr>
        <w:widowControl w:val="0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六、其他说明</w:t>
      </w:r>
    </w:p>
    <w:p w14:paraId="21A11E4E">
      <w:pPr>
        <w:widowControl w:val="0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本公告最终解释权归石家庄市人民医院所有。</w:t>
      </w:r>
      <w:r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sz w:val="32"/>
          <w:szCs w:val="32"/>
          <w:u w:val="none"/>
        </w:rPr>
        <w:t xml:space="preserve"> </w:t>
      </w:r>
    </w:p>
    <w:p w14:paraId="37F9C944">
      <w:pPr>
        <w:widowControl w:val="0"/>
        <w:ind w:firstLine="5120" w:firstLineChars="16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石家庄市人民医院</w:t>
      </w:r>
    </w:p>
    <w:p w14:paraId="399B141B">
      <w:pPr>
        <w:widowControl w:val="0"/>
        <w:ind w:firstLine="5120" w:firstLineChars="16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2026年3月30日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4E0D"/>
    <w:rsid w:val="04BA64C7"/>
    <w:rsid w:val="0ADD6A6C"/>
    <w:rsid w:val="0B7F3FC7"/>
    <w:rsid w:val="0C6E02C3"/>
    <w:rsid w:val="0D4E57EF"/>
    <w:rsid w:val="108F3E01"/>
    <w:rsid w:val="13DB2C86"/>
    <w:rsid w:val="16822B68"/>
    <w:rsid w:val="1FFE1506"/>
    <w:rsid w:val="28C9315F"/>
    <w:rsid w:val="2C5129BE"/>
    <w:rsid w:val="2F3842D0"/>
    <w:rsid w:val="3F8A0269"/>
    <w:rsid w:val="400E0E9A"/>
    <w:rsid w:val="4BDC009E"/>
    <w:rsid w:val="4BE17463"/>
    <w:rsid w:val="4EA235AF"/>
    <w:rsid w:val="4EDD4F6C"/>
    <w:rsid w:val="53760DD8"/>
    <w:rsid w:val="5C82434A"/>
    <w:rsid w:val="5D0D455B"/>
    <w:rsid w:val="6BDA5D17"/>
    <w:rsid w:val="6BDB5825"/>
    <w:rsid w:val="6C5A0E3F"/>
    <w:rsid w:val="6DC30A51"/>
    <w:rsid w:val="72A921D9"/>
    <w:rsid w:val="78B543D9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1183</Characters>
  <Lines>0</Lines>
  <Paragraphs>0</Paragraphs>
  <TotalTime>1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2026-02-24T01:07:00Z</dcterms:created>
  <dc:creator>Administrator</dc:creator>
  <cp:lastModifiedBy>罗彩</cp:lastModifiedBy>
  <dcterms:modified xsi:type="dcterms:W3CDTF">2026-03-30T00:57:44Z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eyJoZGlkIjoiNWRmNWIyM2RhYjU0YWVlODVjYmZjYmFkNTAwNDMyNTUiLCJ1c2VySWQiOiI2NzczMDkzNjgifQ==</vt:lpwstr>
  </property>
  <property fmtid="{D5CDD505-2E9C-101B-9397-08002B2CF9AE}" pid="4" name="ICV">
    <vt:lpwstr>9B15050EC2C94EA5B42834F0737EB2A4_13</vt:lpwstr>
  </property>
</Properties>
</file>