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一次性使用注射射频电极等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截止时间：2026年3月3日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2026年2月28日</w:t>
      </w:r>
    </w:p>
    <w:p w14:paraId="0646E4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一次性使用注射射频电极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1、用于缓解疼痛治疗的射频毁损手术的能量发放，匹配一次性使用射频套管使用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设备名称：射频消融治疗仪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生产厂家：波士顿科学神经调控公司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型号：RFG-4-220V</w:t>
            </w:r>
          </w:p>
          <w:p w14:paraId="40E030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3、电极长度规格齐全，具备5cm、10cm、15cm等； 直径0.36mm</w:t>
            </w:r>
          </w:p>
        </w:tc>
      </w:tr>
      <w:tr w14:paraId="391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86" w:type="dxa"/>
            <w:shd w:val="clear" w:color="auto" w:fill="auto"/>
            <w:vAlign w:val="center"/>
          </w:tcPr>
          <w:p w14:paraId="6B650A3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FD70F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一次性使用射频套管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D9CEC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1、用于缓解疼痛治疗的射频毁损手术的穿刺隧道工具，匹配一次性使用注射射频电极使用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0507AD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下机器使用，适配机型：</w:t>
            </w:r>
          </w:p>
          <w:p w14:paraId="66685F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设备名称：射频消融治疗仪</w:t>
            </w:r>
          </w:p>
          <w:p w14:paraId="6A6F34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生产厂家：波士顿科学神经调控公司</w:t>
            </w:r>
          </w:p>
          <w:p w14:paraId="053F28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型号：RFG-4-220V</w:t>
            </w:r>
          </w:p>
          <w:p w14:paraId="30F76F94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3、长度具备5cm、10cm、15cm等，工作裸露端4mm、5mm、10mm等，直径包含20G、22G。套管针头端有直形尖头、弯形钝头等形状区分，要求部分型号套管针表面涂有医用硅油</w:t>
            </w:r>
          </w:p>
        </w:tc>
      </w:tr>
      <w:tr w14:paraId="110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86" w:type="dxa"/>
            <w:shd w:val="clear" w:color="auto" w:fill="auto"/>
            <w:vAlign w:val="center"/>
          </w:tcPr>
          <w:p w14:paraId="5D35C09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0C789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一次性使用外周血管斑块旋切导管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9A023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1、用于股腘动脉原发性病变的经皮腔内斑块旋切预处理治疗；</w:t>
            </w:r>
          </w:p>
          <w:p w14:paraId="13DC05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397817A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设备名称：血管斑块旋切控制装置</w:t>
            </w:r>
          </w:p>
          <w:p w14:paraId="3FBF9F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生产厂家：波士顿科学公司</w:t>
            </w:r>
          </w:p>
          <w:p w14:paraId="1F1E335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型号：PVCN100</w:t>
            </w:r>
          </w:p>
          <w:p w14:paraId="3DC17857">
            <w:pPr>
              <w:pStyle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由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抽吸导管，操作手柄，废液导管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等组成；</w:t>
            </w:r>
          </w:p>
          <w:p w14:paraId="2F13EA81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4、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抽吸导管头端有可扩张可旋转刀片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2F63A4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5、抽吸导管的三个腔体可供导丝通过、抽吸物回流、盐水灌注。</w:t>
            </w:r>
          </w:p>
        </w:tc>
      </w:tr>
      <w:tr w14:paraId="66B6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86" w:type="dxa"/>
            <w:shd w:val="clear" w:color="auto" w:fill="auto"/>
            <w:vAlign w:val="center"/>
          </w:tcPr>
          <w:p w14:paraId="7EB6A4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XG0228-04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CFF1A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一次性使用外周血管内冲击波导管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D4D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1、用于对成人患者髂动脉，股动脉，髂股动脉，腘动脉，肾动脉和膝下动脉的钙化病变进行预处理及球囊扩张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02719E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05295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设备名称：血管内冲击波治疗设备</w:t>
            </w:r>
          </w:p>
          <w:p w14:paraId="3DC739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生产厂家：乐普（北京）医疗器械股份有限公司</w:t>
            </w:r>
          </w:p>
          <w:p w14:paraId="40031A1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型号：LP-AW-100A</w:t>
            </w:r>
          </w:p>
          <w:p w14:paraId="5DE7DA9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球囊直径3mm～7mm；</w:t>
            </w:r>
          </w:p>
          <w:p w14:paraId="2CC2DE97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4、球囊长度40～60mm</w:t>
            </w:r>
          </w:p>
        </w:tc>
      </w:tr>
      <w:tr w14:paraId="41CA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86" w:type="dxa"/>
            <w:shd w:val="clear" w:color="auto" w:fill="auto"/>
            <w:vAlign w:val="center"/>
          </w:tcPr>
          <w:p w14:paraId="313A52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SW0228-01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B227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一次性使用三通旋塞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A24D6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1、用于压力监测管路的连接、输液、输血、转向等，各类神经介入相关操作和手术都需要使用；</w:t>
            </w:r>
          </w:p>
          <w:p w14:paraId="535058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2、由阀帽、阀座、开关、连接器、锥盖等组成</w:t>
            </w:r>
          </w:p>
        </w:tc>
      </w:tr>
    </w:tbl>
    <w:p w14:paraId="6A3CFE2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8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8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5AD00"/>
    <w:multiLevelType w:val="singleLevel"/>
    <w:tmpl w:val="F855AD0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3"/>
    <w:basedOn w:val="1"/>
    <w:next w:val="5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5">
    <w:name w:val="List 2"/>
    <w:basedOn w:val="1"/>
    <w:next w:val="6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8">
    <w:name w:val="正文部分 Char Char Char"/>
    <w:basedOn w:val="7"/>
    <w:next w:val="9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9">
    <w:name w:val="章标题"/>
    <w:basedOn w:val="10"/>
    <w:qFormat/>
    <w:uiPriority w:val="0"/>
    <w:pPr>
      <w:spacing w:line="360" w:lineRule="auto"/>
    </w:pPr>
  </w:style>
  <w:style w:type="paragraph" w:styleId="10">
    <w:name w:val="Title"/>
    <w:basedOn w:val="1"/>
    <w:next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1">
    <w:name w:val="Body Text Indent1"/>
    <w:basedOn w:val="1"/>
    <w:next w:val="1"/>
    <w:qFormat/>
    <w:uiPriority w:val="0"/>
    <w:rPr>
      <w:rFonts w:ascii="仿宋" w:hAnsi="仿宋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5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6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9">
    <w:name w:val="Table Grid"/>
    <w:basedOn w:val="1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20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20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20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1875</Words>
  <Characters>2130</Characters>
  <Lines>0</Lines>
  <Paragraphs>0</Paragraphs>
  <TotalTime>53</TotalTime>
  <ScaleCrop>false</ScaleCrop>
  <LinksUpToDate>false</LinksUpToDate>
  <CharactersWithSpaces>2397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2026-02-28T02:21:31Z</cp:lastPrinted>
  <dcterms:modified xsi:type="dcterms:W3CDTF">2026-02-28T02:22:28Z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